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9620" w:type="dxa"/>
        <w:tblInd w:w="32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4810"/>
        <w:gridCol w:w="4810"/>
      </w:tblGrid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8"/>
        </w:trPr>
        <w:tc>
          <w:tcPr>
            <w:tcW w:w="48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2"/>
              </w:tabs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bookmarkStart w:id="0" w:name="_GoBack"/>
            <w:bookmarkEnd w:id="0"/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CONVENTION - CADRE DE COP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RATION I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TERNATIONALE</w:t>
            </w:r>
          </w:p>
          <w:p w:rsidR="00C46991" w:rsidRDefault="00A67A12">
            <w:pPr>
              <w:tabs>
                <w:tab w:val="left" w:pos="142"/>
              </w:tabs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ENTRE</w:t>
            </w:r>
          </w:p>
          <w:p w:rsidR="00C46991" w:rsidRDefault="00A67A12">
            <w:pPr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UNIVERSIT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DE LA FRONTERA, TEMUCO, CHILI ET 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Universit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Mohammed V de R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bat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 (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Maroc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)</w:t>
            </w:r>
          </w:p>
        </w:tc>
        <w:tc>
          <w:tcPr>
            <w:tcW w:w="481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2"/>
              </w:tabs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CONVENIO DE COOPERACI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N INTERNACI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NAL</w:t>
            </w:r>
          </w:p>
          <w:p w:rsidR="00C46991" w:rsidRDefault="00A67A12">
            <w:pPr>
              <w:tabs>
                <w:tab w:val="left" w:pos="142"/>
              </w:tabs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ENTRE </w:t>
            </w:r>
          </w:p>
          <w:p w:rsidR="00C46991" w:rsidRDefault="00A67A12">
            <w:pPr>
              <w:tabs>
                <w:tab w:val="left" w:pos="142"/>
              </w:tabs>
              <w:jc w:val="center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LA UNIVERSIDAD DE LA FRONTERA, TEMUCO, CHILE, </w:t>
            </w:r>
          </w:p>
          <w:p w:rsidR="00C46991" w:rsidRDefault="00A67A12">
            <w:pPr>
              <w:tabs>
                <w:tab w:val="left" w:pos="142"/>
              </w:tabs>
              <w:jc w:val="center"/>
            </w:pP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 xml:space="preserve">Y 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 xml:space="preserve">La Universidad </w:t>
            </w:r>
            <w:r>
              <w:rPr>
                <w:rStyle w:val="Ninguno"/>
                <w:rFonts w:ascii="Arial" w:hAnsi="Arial"/>
                <w:b/>
                <w:bCs/>
                <w:caps/>
                <w:lang w:val="es-ES_tradnl"/>
              </w:rPr>
              <w:t>Mohammed V de Rabat</w:t>
            </w:r>
            <w:r>
              <w:rPr>
                <w:rStyle w:val="Ninguno"/>
                <w:rFonts w:ascii="Arial" w:hAnsi="Arial"/>
                <w:b/>
                <w:bCs/>
                <w:lang w:val="es-ES_tradnl"/>
              </w:rPr>
              <w:t>, (MARRUECOS)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Comparaissent: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une part,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 LA FRONTERA (UFRO), Chili, repr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e par son Doyen, Monsieur Eduardo Hebel Weiss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carte nationale d'identit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°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6.532.761-9,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dom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cili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Av. Francisco Salazar 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º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01145,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muco,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Chili, et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autre part,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MOHAMMED V DE RABAT (Maroc), repr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 en cet acte par son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sident, Prof. Farid El Bacha, domicili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e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:  Avenue des Nations Unies, Agdal, B.P: 8007, Rabat - Maroc,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Ils conviennent souscrire la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sente conve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tion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 coop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ration internationale: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Comparecen: por una parte, la UNIVERSIDAD DE LA FRONTERA (UFRO), Chile, represe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tada por su Rector, Sr. Eduardo Hebel Weiss, 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dula nacional de identidad 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°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6.532.761-9, ambos con domicilio en Av. Francisco Salazar 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º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01145, de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ciudad de  Temuco novena regi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Chile,  y, por  la otra parte compar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ce la UNIVERSIDAD MOHAMMED V DE 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BAT (Marruecos), representada en este acto por su Presidente, Prof. Farid El Bacha, con domicilio en la ciudad de Rabat, calle Naciones Unidas, Agd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al, B.P: 8007, Rabat-Marruecos, quienes por este acto acuerdan suscribir el presente convenio de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internaci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nal: 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D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CLARATIONS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DECLARACIONES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4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lastRenderedPageBreak/>
              <w:t>L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’ 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UFRO declare</w:t>
            </w:r>
          </w:p>
          <w:p w:rsidR="00C46991" w:rsidRDefault="00C46991">
            <w:pPr>
              <w:jc w:val="both"/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C46991" w:rsidRDefault="00A67A1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de La Frontera est une corp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ration de droit publique, Chilienne,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aut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nome, poss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dant son propre patrimoine, fond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 par le D.F.L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Education 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°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17 de 1981.</w:t>
            </w:r>
          </w:p>
          <w:p w:rsidR="00C46991" w:rsidRDefault="00A67A1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de La Frontera est une instit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tion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Education Sup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rieure consacr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e   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enseignement et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la culture sup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rieure des arts, des lettres et des sciences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,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tant socialement responsable, sa mission est de contribuer au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veloppement du Chili et ses habitants, ainsi qu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au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veloppement de la 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gion, par la g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neration et la tran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mision du savoir, la formation des profe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sionels et des diplom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de troisi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me cyc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le universitaire ainsi que  la promotion des arts et la culture. Afin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assurer la 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ussite de tout cela,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’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prend un engag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ment avec la calit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et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innovation, tout en ayant un respect absolu envers les pe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sonnes,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environement et la diversit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cult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relle, dans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int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 de la construction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une soci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plus juste et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mocratique. </w:t>
            </w:r>
          </w:p>
          <w:p w:rsidR="00C46991" w:rsidRDefault="00A67A1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Pour la 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ussite des objectifs indiqu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ant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rieurement,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pourra 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lebrer quelque contrat que ce soit ayant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intention de promouvoir ses objectifs, tout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en respe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tant la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gislation en vigueur.</w:t>
            </w:r>
          </w:p>
          <w:p w:rsidR="00C46991" w:rsidRDefault="00A67A1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Pour la souscription et les effets de la 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sente convention de coop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ration,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est repr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sent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 par Monsieur Eduardo Hebel Weiss en sa position de Doyen et repr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sentant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gal de la UFRO suivant le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cret 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°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132  du 19 Juillet 2022.</w:t>
            </w:r>
          </w:p>
          <w:p w:rsidR="00C46991" w:rsidRDefault="00A67A12">
            <w:pPr>
              <w:numPr>
                <w:ilvl w:val="0"/>
                <w:numId w:val="1"/>
              </w:numPr>
              <w:jc w:val="both"/>
              <w:rPr>
                <w:rFonts w:ascii="Arial" w:hAnsi="Arial"/>
                <w:b/>
                <w:bCs/>
                <w:sz w:val="22"/>
                <w:szCs w:val="22"/>
                <w:lang w:val="fr-FR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clare que son domicile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gal est Avenida Francisco Salazar 01145, Temuco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–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Chili.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Declara la UFRO</w:t>
            </w:r>
          </w:p>
          <w:p w:rsidR="00C46991" w:rsidRDefault="00C46991">
            <w:pPr>
              <w:jc w:val="both"/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C46991" w:rsidRDefault="00A67A1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Universidad de La Frontera es una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poraci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derecho 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blico, chilena, aut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noma, con patrimonio propio, creada por  el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D.F.L de Educaci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º 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17 de 1981.</w:t>
            </w:r>
          </w:p>
          <w:p w:rsidR="00C46991" w:rsidRDefault="00A67A1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Universidad de La Frontera es una inst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tuci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Educaci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Superior, dedicada a la ense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anza y el cultivo superior de las artes, las letras y las ciencias, socialmente re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ponsable que tiene como misi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n contribuir al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desarrollo de Chile y de sus habitantes la regi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y del pa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mediante la generaci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y transmisi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conocimiento, la formaci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profesionales y postgraduados, el cultivo de las artes y de la cultura. Para lograr lo anterior, asume el compromiso con la 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dad y la innovaci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n, con pleno respeto por las personas, el entorno y la diversidad cu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tural para la construcci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una sociedad 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justa y democr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tica.</w:t>
            </w:r>
          </w:p>
          <w:p w:rsidR="00C46991" w:rsidRDefault="00A67A12">
            <w:pPr>
              <w:numPr>
                <w:ilvl w:val="0"/>
                <w:numId w:val="2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Para el logro de los objetivos antes indic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dos la Universidad podr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celebrar cualquier clase de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ntratos con el prop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sito de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mover sus fines y objetivos, respetando la legislaci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vigente.</w:t>
            </w:r>
          </w:p>
          <w:p w:rsidR="00C46991" w:rsidRDefault="00A67A12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i/>
                <w:iCs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Que para la suscripci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y efectos del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sente convenio de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est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sentada por el Sr. Eduardo Hebel Weiss, en su car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cter de Rector y representante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legal de la UFRO seg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D.S. 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º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132 de 19 de j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lio de 2022 del Ministerio de Educaci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n.</w:t>
            </w:r>
          </w:p>
          <w:p w:rsidR="00C46991" w:rsidRDefault="00A67A12">
            <w:pPr>
              <w:numPr>
                <w:ilvl w:val="0"/>
                <w:numId w:val="3"/>
              </w:numPr>
              <w:jc w:val="both"/>
              <w:rPr>
                <w:rFonts w:ascii="Arial" w:hAnsi="Arial"/>
                <w:i/>
                <w:iCs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Declara que su domicilio legal es, Avenida Francisco Salazar 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º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01145, Temuco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–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le.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lastRenderedPageBreak/>
              <w:t>L</w:t>
            </w:r>
            <w:r>
              <w:rPr>
                <w:rStyle w:val="Ninguno"/>
                <w:b/>
                <w:bCs/>
                <w:sz w:val="22"/>
                <w:szCs w:val="22"/>
                <w:rtl/>
              </w:rPr>
              <w:t>’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Universit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fr-FR"/>
              </w:rPr>
              <w:t>Mohammed V de Rabat d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clare:</w:t>
            </w:r>
          </w:p>
          <w:p w:rsidR="00C46991" w:rsidRDefault="00C46991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</w:p>
          <w:p w:rsidR="00C46991" w:rsidRDefault="00A67A12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L</w:t>
            </w:r>
            <w:r>
              <w:rPr>
                <w:rStyle w:val="Ninguno"/>
                <w:sz w:val="22"/>
                <w:szCs w:val="22"/>
                <w:rtl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Mohammed V de Rabat a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cr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e en 1957 </w:t>
            </w:r>
            <w:proofErr w:type="gramStart"/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et</w:t>
            </w:r>
            <w:proofErr w:type="gramEnd"/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 est consid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 comme la plus ancienne des 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contemp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raines au Maroc.</w:t>
            </w:r>
          </w:p>
          <w:p w:rsidR="00C46991" w:rsidRDefault="00A67A12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it-IT"/>
              </w:rPr>
              <w:t>L'Universit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Mohammed V de Rabat est un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tablissement d'Enseignement Sup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rieur compos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pt-PT"/>
              </w:rPr>
              <w:t>de 20 Facult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et Ecoles couvrant l'ensemble des domaines scientifiques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, tec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h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niques,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conomiques, juridiques, m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dicaux, humains et sociaux, des arts et des langues. Elle a environ 86.209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tudiants, 2.034 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fesseurs et chercheurs et plus de 2.880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diants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trangers de 45 nationalit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s. L'UM5R maintient plus de 250 association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avec des 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s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trang</w:t>
            </w:r>
            <w:r>
              <w:rPr>
                <w:rStyle w:val="Ninguno"/>
                <w:rFonts w:ascii="Arial" w:hAnsi="Arial"/>
                <w:sz w:val="22"/>
                <w:szCs w:val="22"/>
                <w:lang w:val="it-IT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res et participe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de no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m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breux programmes de coop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ration intern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tionale dans le cadre de financements eur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ens et internationaux. L'ouverture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l'inte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national est l'une des forces de l'Universit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Mohammed V, comme le 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moigne le nombre d'accords sign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avec des part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naires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travers le monde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.</w:t>
            </w:r>
          </w:p>
          <w:p w:rsidR="00C46991" w:rsidRDefault="00A67A12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it-IT"/>
              </w:rPr>
              <w:t>L'Universit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peut 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brer tout type de co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trat li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tout type de propri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dans le but de promouvoir ses buts et objectifs.</w:t>
            </w:r>
          </w:p>
          <w:p w:rsidR="00C46991" w:rsidRDefault="00A67A12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  <w:lang w:val="fr-FR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Pour la souscription et les effets de la 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sente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convention g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rale elle est repr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se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 par Monsieur Farid El Bacha, en sa qual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de 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sident et repr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sentant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gal de l'UM5R.</w:t>
            </w:r>
          </w:p>
          <w:p w:rsidR="00C46991" w:rsidRDefault="00A67A12">
            <w:pPr>
              <w:numPr>
                <w:ilvl w:val="0"/>
                <w:numId w:val="4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L</w:t>
            </w:r>
            <w:r>
              <w:rPr>
                <w:rStyle w:val="Ninguno"/>
                <w:sz w:val="22"/>
                <w:szCs w:val="22"/>
                <w:rtl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UM5R indique que son domicile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gal afin d</w:t>
            </w:r>
            <w:r>
              <w:rPr>
                <w:rStyle w:val="Ninguno"/>
                <w:sz w:val="22"/>
                <w:szCs w:val="22"/>
                <w:rtl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accomplir cette Convention-Cadre </w:t>
            </w:r>
            <w:proofErr w:type="gramStart"/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est</w:t>
            </w:r>
            <w:proofErr w:type="gramEnd"/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 Avenue des Nations Unies, Agdal, B.P: 8007 (Rabat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– </w:t>
            </w:r>
            <w:r>
              <w:rPr>
                <w:rStyle w:val="Ninguno"/>
                <w:rFonts w:ascii="Arial" w:hAnsi="Arial"/>
                <w:sz w:val="22"/>
                <w:szCs w:val="22"/>
                <w:lang w:val="it-IT"/>
              </w:rPr>
              <w:t>Maroc).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La Universidad Mohammed V de Rabat d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clara: </w:t>
            </w:r>
          </w:p>
          <w:p w:rsidR="00C46991" w:rsidRDefault="00C46991">
            <w:pPr>
              <w:jc w:val="both"/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C46991" w:rsidRDefault="00A67A12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Universidad Mohammed V de Rabat fue creada en 1957 y se considera como la m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antigua de las Universidades con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tempor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neas de Marruecos. </w:t>
            </w:r>
          </w:p>
          <w:p w:rsidR="00C46991" w:rsidRDefault="00A67A12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Universidad Mohammed V en Rabat es una instituci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nl-NL"/>
              </w:rPr>
              <w:t>n de Ense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anza Superior que consta de 20 Facultades y Escuelas que 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bren todos los campos cient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pt-PT"/>
              </w:rPr>
              <w:t>ficos, 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pt-PT"/>
              </w:rPr>
              <w:t>cnicos, econ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pt-PT"/>
              </w:rPr>
              <w:t>micos, jur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pt-PT"/>
              </w:rPr>
              <w:t>dicos, m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dicos, humanos y sociales, artes e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idiomas. Cuenta con apr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ximadamente 86.209 estudiantes, 2.034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fesores e investigadores, y m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de 2.880 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tudiantes extranjeros de 45 nacionalidades. La UM5R mantiene m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de 250 asociaci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nes con universidades extranjeras y participa en numerosos programa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de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ternacional en el marco de la financiaci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europea e internacional. La apertura a la 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ternacionalizaci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es uno de los puntos fue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tes de la Universidad Mohammed V, como lo demuestra la cantidad de acuerdos firmados con socios en todo el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mundo.</w:t>
            </w:r>
          </w:p>
          <w:p w:rsidR="00C46991" w:rsidRDefault="00A67A12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Universidad podr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celebrar cualquier cl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 de contratos relativos a cualquier tipo de bienes con el prop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sito de promover sus f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nes y objetivos.</w:t>
            </w:r>
          </w:p>
          <w:p w:rsidR="00C46991" w:rsidRDefault="00A67A12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Que para la suscripci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y efectos del prese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 convenio general est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representada por el Sr. Farid 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 Bacha, en su car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cter de pres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dente y representante legal de la UM5R.</w:t>
            </w:r>
          </w:p>
          <w:p w:rsidR="00C46991" w:rsidRDefault="00A67A12">
            <w:pPr>
              <w:numPr>
                <w:ilvl w:val="0"/>
                <w:numId w:val="5"/>
              </w:numPr>
              <w:jc w:val="both"/>
              <w:rPr>
                <w:rFonts w:ascii="Arial" w:hAnsi="Arial"/>
                <w:sz w:val="22"/>
                <w:szCs w:val="22"/>
                <w:lang w:val="it-IT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it-IT"/>
              </w:rPr>
              <w:t>La UM5R 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ala como domicilio legal, a efectos del cumplimiento de este Convenio Marco, Rabat Agdal, 8007, B, Marruecos.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CLAUSES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spacing w:line="360" w:lineRule="auto"/>
              <w:jc w:val="center"/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CLAUSULAS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PREMI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 : Objectif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Le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sente convention a pour but,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tablir les bases 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rales de la coop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ation universitaire entre les parties, dans le milieu de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enseignement, la recherche, la diffusion des connaissances et la culture dans le domaine des comp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tences et principalement, promo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voir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change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miciens,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tudiants et de chercheurs par la 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alisation conjointe de projets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int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ret commun.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PRIMERA: Objetivo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El presente convenio tiene como objetivo est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blecer las bases generales para la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mica entre las partes,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en las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reas de la ense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anza, la investigaci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y la difusi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n del conocimiento y la cultura dentro del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mbito de su competencia y, especialmente promover el intercambio de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micos, estudiantes, inve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tigadores, mediante la realizaci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proyectos conjun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tos de mutuo inter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 en las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reas que se establezcan.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DEUXI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 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: Port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port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e, les termes, les conditions de fina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cement et les proc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dures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ex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cution de ch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que projet de coop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ration, seront accord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 par les parties en programmes de travail concrets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qui seront officialis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par des accords sp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cif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ques approuv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s, et seront incorpor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 en tant que documents annexes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sente conve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tion. Les accords sp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cifiques devront respecter les stipulations de la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sente convention 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rale.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SEGUNDA: Alcance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El 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lcance, 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rminos, condiciones de financi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miento y procedimientos de ejecuci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cada uno de los proyectos de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ser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acordados por las partes en programas de tr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bajo concretos que se formalizar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mediante convenios espec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ficos, con la debida apr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ob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y que ser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incorporados como anexos al presente convenio. Los acuerdos espec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ficos deber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respetar las estipulaciones del prese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 Convenio General.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TROISI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 : Modalit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de coop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rtion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Les domaines de coop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ration, soumis au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sentement mutuel,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comprennent tout progra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me offert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autre 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dans la mesure 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ù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tout aspect du 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me, soit estim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convenable ainsi que viable et  les deux parties, aient le sentiment de contribuer au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veloppement et la promotion des rapports coop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ratifs entre les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deux 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TERCERA: Modalidades de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Las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reas de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incluyen, sujetas a consentimiento mutuo, cualquier programa ofrecido a la otra universidad en la medida que estimen conveniente y viable en cualquier 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pecto y que ambas parte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sientan que contr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buyen al fomento y desarrollo de las relaciones cooperativas entre las dos universidades.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aide fournie par chaque part du contrat, sera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enseignement, la recherche,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change de professeurs,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tudiants,  de groupe de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vel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ppement,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 consid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b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fiques pour les deux institutions. Dans la mise en place du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 accord, les parties signataires devront tenir compte des modalit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de coop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ration suiva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tes:</w:t>
            </w:r>
          </w:p>
          <w:p w:rsidR="00C46991" w:rsidRDefault="00A67A12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change de professeurs et personnel de direction durant des 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riodes accord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mutuellement,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des fins 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dagogiques et de recherche, dans la mesure de leurs po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sibilit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s;</w:t>
            </w:r>
          </w:p>
          <w:p w:rsidR="00C46991" w:rsidRDefault="00A67A12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change 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ciproque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tudiants, seulement lorsque ceux-ci respectent les conditions en vigueur requises par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institution de destin, conditions qui devront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tre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crites dans un accord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change sp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cifique ;</w:t>
            </w:r>
          </w:p>
          <w:p w:rsidR="00C46991" w:rsidRDefault="00A67A12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Activit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de recherche conjointe ;</w:t>
            </w:r>
          </w:p>
          <w:p w:rsidR="00C46991" w:rsidRDefault="00A67A12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Participation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des 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minaires et rencontres universitaires ;</w:t>
            </w:r>
          </w:p>
          <w:p w:rsidR="00C46991" w:rsidRDefault="00A67A12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change de mat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riel universitaire et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autre sorte;</w:t>
            </w:r>
          </w:p>
          <w:p w:rsidR="00C46991" w:rsidRDefault="00A67A12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Assistance au d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veloppement de projets universitaires d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int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t </w:t>
            </w:r>
            <w:proofErr w:type="gramStart"/>
            <w:r>
              <w:rPr>
                <w:rStyle w:val="Ninguno"/>
                <w:rFonts w:ascii="Arial" w:hAnsi="Arial"/>
                <w:sz w:val="22"/>
                <w:szCs w:val="22"/>
              </w:rPr>
              <w:t>commun ;</w:t>
            </w:r>
            <w:proofErr w:type="gramEnd"/>
          </w:p>
          <w:p w:rsidR="00C46991" w:rsidRDefault="00A67A12">
            <w:pPr>
              <w:numPr>
                <w:ilvl w:val="0"/>
                <w:numId w:val="6"/>
              </w:numPr>
              <w:jc w:val="both"/>
              <w:rPr>
                <w:rFonts w:ascii="Arial" w:hAnsi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Programmes universitaires sp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ciaux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comme la co-tutelle de la double gradu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tion.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ayuda que proporcionar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cada parte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tractual ser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ense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anza, investigaci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n, inte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cambio de cuerpo docente y estudiantes, equ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po de desarrollo, que se consi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deren benefici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sos por las dos instituciones. En la impleme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del presente convenio, las partes firma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tes considerar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las siguientes modalidades de cooperaci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n:</w:t>
            </w:r>
          </w:p>
          <w:p w:rsidR="00C46991" w:rsidRDefault="00A67A1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Intercambio de personal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mico y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rectivo durante per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odos que mutuamente se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acuerden, con fines docentes o de 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vestigaci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n, en la medida de sus posibil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dades;</w:t>
            </w:r>
          </w:p>
          <w:p w:rsidR="00C46991" w:rsidRDefault="00A67A1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Intercambio rec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proco de estudiantes, siempre que estos cumplan con los requis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tos vigentes de la Instituci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receptora;</w:t>
            </w:r>
          </w:p>
          <w:p w:rsidR="00C46991" w:rsidRDefault="00A67A1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Actividades de investigaci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conjunta;</w:t>
            </w:r>
          </w:p>
          <w:p w:rsidR="00C46991" w:rsidRDefault="00A67A1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Participaci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en seminarios y encuentros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micos;</w:t>
            </w:r>
          </w:p>
          <w:p w:rsidR="00C46991" w:rsidRDefault="00A67A1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Intercambio de materiales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micos y de otra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ndole;</w:t>
            </w:r>
          </w:p>
          <w:p w:rsidR="00C46991" w:rsidRDefault="00A67A1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Asesor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 en el desarrollo de proyectos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micos de mutuo inter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s;</w:t>
            </w:r>
          </w:p>
          <w:p w:rsidR="00C46991" w:rsidRDefault="00A67A12">
            <w:pPr>
              <w:numPr>
                <w:ilvl w:val="0"/>
                <w:numId w:val="7"/>
              </w:numPr>
              <w:jc w:val="both"/>
              <w:rPr>
                <w:rFonts w:ascii="Arial" w:hAnsi="Arial"/>
                <w:sz w:val="22"/>
                <w:szCs w:val="22"/>
                <w:lang w:val="es-ES_tradnl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Programas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micos especiales, tales como co-tutelas de doble graduaci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proofErr w:type="gramStart"/>
            <w:r>
              <w:rPr>
                <w:rStyle w:val="Ninguno"/>
                <w:rFonts w:ascii="Arial" w:hAnsi="Arial"/>
                <w:sz w:val="22"/>
                <w:szCs w:val="22"/>
              </w:rPr>
              <w:t>QUATRI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ME :</w:t>
            </w:r>
            <w:proofErr w:type="gramEnd"/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Res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sources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</w:rPr>
              <w:t>Les termes d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assitance mutuelle, le budget n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cessaire pour chaque programme et activit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qui se met en place en virtu des termes de cet accord, seront discut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s mutuellement et co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venus par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crit des deux parties avant le d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but de chaque programme ou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 activit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particuli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re qui sera n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goci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e sur une base annuelle. Les deux institutions chercheront des ressources afin de financer des billets de voyage, l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</w:rPr>
              <w:t xml:space="preserve">assurance et la nourriture de ses participants.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Les 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ont pas la responsabilit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de prendre en charge les frais des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tudiants en situation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change.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CUARTA: Recursos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Los 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rminos de la asistencia mutua, pres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puesto necesario para cada programa y activ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dad que se implementa en virtud de los 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nos de este acuerdo ser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n discutidos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mutu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mente y acordados por escrito por ambas pa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tes antes del inicio de cada programa o activ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dad particular, que ser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negociados sobre una base anual. Ambas instituciones buscar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recursos para financiar pasajes, seguros y al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jamiento de sus participante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s. Las universid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des no tienen la responsabilidad de cargar con los gastos de los alumnos de intercambio.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CINQUI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 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: Propri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intellectuelle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Les parties conviennent de se b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ficier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jointement des droits octroy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par les lois en ce qui concerne la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opri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intellectuelle, autant dans leurs territoires nationaux comme dans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autres pays. Il est formellement compris que les parties pourront utiliser les 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sultats obt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nus des activit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prot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es par le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 in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trument, dans leurs domaines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universitaires et objectifs de difusion, de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veloppement instit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tionnel et am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lioration universitaire correspo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dante.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QUINTA: Propiedad Intelectual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Las partes convienen en que gozar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conju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tamente de los derechos que otorgan las leyes en materia de propi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edad intelectual, tanto en sus territorios nacionales como en terceros pa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ses. Queda expresamente entendido que las partes podr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utilizar los resultados obten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dos de las actividades amparadas por el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sente instrumento, en sus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reas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micas y para los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fines de difusi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n, desarrollo instituci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nal y superaci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mica que corresponda.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SIXI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 : Responsabilit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civile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Il est express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ment convenu que les parties 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auront pas de responsabilit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civile vis-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à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-vis de dommages et int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ts pouvant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tre caus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en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cons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quence de cas fortuit ou de force 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jeure, particuli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rement en cas de suspension du travail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mique ou administratif,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tant entendu que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que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nement soit surmo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, les activit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seront reprises dans les termes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par les parties.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SEXTA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: Responsabilidad civil 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Queda expresamente pactado que las partes no tendr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responsabilidad civil por los da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os y perjuicios que pudieran causarse como cons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cuencia de caso fortuito o de fuerza mayor, particularmente por la suspensi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labores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micas o administrativas, en el entendido de que, una vez superados estos eventos, se reanudar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las actividades en la forma y 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nos que determinen las partes.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SEPTI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 : Renouvellement,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lai et modif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cation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sente convention aura une validit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de cinq (5) ans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partir de la date de sa derni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re signature, avec un accord qui permetra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y me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tre fin de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autre part au moyen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une notif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cation par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crit avant la fin du mois de mars de quelconque ann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e. La convention peut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tre prolong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 para accord 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utuel des deux pa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ties. Cette convention peut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tre modifi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e, et ces modifications, une fois approuv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es des deux parties, feront partie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un document annexe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 convention.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SEPTIMA: Renovaci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n, 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rmino y modificaci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El presente convenio permanecer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en vig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encia por un per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í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odo de cinco (5) 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os a partir de la fecha de su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ltima firma, con el acuerdo de que puede ser terminado por la contraparte 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dia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 una notificaci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por escrito antes del 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rmino del mes de marzo en cualquier 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o. El convenio puede ser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orrogado por mutuo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sentimiento de ambas partes. Este convenio puede ser modificado y tales modificaciones, una vez que son aprobadas por ambas partes, formar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parte de un anexo de convenio.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6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HUITI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ME : Controverses et interpr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tation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Les parties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expriment que la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sente conve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tion est issue de leur bonne foi, mais en cas de doute ou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saccord sur son contenu ou inte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tation, volontairement et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un commun 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cord, les parties conviennent de choisir un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seil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arbitrage compos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par un membre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para chacune des parties, plus un autre membre choisi conjointement afin de pouvoir decider au sujet du 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saccord survenu.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OCTAVA: Controversias e Interpretaci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Las partes manifiestan que el presente conv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nio es producto de su buena fe, pero en caso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de duda o discrepancia sobre su contenido o interpretaci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n, voluntariamente y de com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ú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acuerdo, convienen en elegir un colegio arbitral compuesto por un miembro designado por c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da una de las partes, 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otro escogido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juntamente para que decida sobre la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contr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versia surgida.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2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NEUVI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ME: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Harc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lement sexuel, violence et discrimination sexuelle</w:t>
            </w:r>
          </w:p>
          <w:p w:rsidR="00C46991" w:rsidRDefault="00A67A12">
            <w:pPr>
              <w:tabs>
                <w:tab w:val="left" w:pos="1440"/>
              </w:tabs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Il est not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que les 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glements internes existants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l'Universit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de La Frontera et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l'Universit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Mohammed V de Rabat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 sont cens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s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ê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tre i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corpor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dans cet accord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concernant le harc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lement sexuel, la violence et la discrimination sexuelle, qui sera applicable aux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tudiants, universitaires, fonctionnaires et/ou tiers qui participent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des activit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 organis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es ou d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v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lopp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es par les deux institutions dans le cadre du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pr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sent accord, dont le r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glement appartient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à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la personne qui ex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cute le comportement.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"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NOVENA: Acoso sexual, violencia y discrim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nero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 deja constancia que se entiende incorpor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do al presente convenio la normativa interna existente en la Uni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versidad de La Frontera y la Universidad Mohammed V en Rabat, en mat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ria de acoso sexual, violencia y discriminaci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g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nero, la que ser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á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aplicable a estudiantes, acad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micos, funcionarios y/o terceros que pa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ticipen de actividades organizadas o desarr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adas por ambas instituciones en el marco del presente convenio, siendo aplicable la normat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va a la que pertenezca aquella persona que realiza el comportamiento."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tabs>
                <w:tab w:val="left" w:pos="1440"/>
              </w:tabs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DIXI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È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ME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: Coordinateurs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Pour l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’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ex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cution des activit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 de la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sente Convention, les parties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signeront en tant que coordinateurs 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D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É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CIMA: Coordinadores</w:t>
            </w: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Para la ejecuci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de las actividades del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 Convenio, las partes designar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á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como coordinadores: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De la part de l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’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UFRO, Mr.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Carlos DEL VALLE ROJAS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, Directeur du doctorat en communic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tion. Adresse e-mail: 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ca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los.delvalle@ufrontera.cl</w:t>
            </w:r>
          </w:p>
          <w:p w:rsidR="00C46991" w:rsidRDefault="00C46991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  <w:lang w:val="fr-FR"/>
              </w:rPr>
            </w:pP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De la part de Universidad Mohammed V en Rabat, Mr. Jamal Eddine EL Hani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,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Doyen de la Facult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 xml:space="preserve">é </w:t>
            </w:r>
            <w:r>
              <w:rPr>
                <w:rStyle w:val="Ninguno"/>
                <w:rFonts w:ascii="Arial" w:hAnsi="Arial"/>
                <w:sz w:val="22"/>
                <w:szCs w:val="22"/>
                <w:lang w:val="fr-FR"/>
              </w:rPr>
              <w:t>des Lettres et des Sciences Humaines de Rabat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Por parte de la UFRO, el Sr.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 xml:space="preserve"> Carlos DEL V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LLE ROJAS, Director del Doctorado en Com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u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nicaci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n. Direcci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 electr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nica: ca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los.delvalle@ufrontera.cl</w:t>
            </w:r>
          </w:p>
          <w:p w:rsidR="00C46991" w:rsidRDefault="00C46991">
            <w:pPr>
              <w:jc w:val="both"/>
              <w:rPr>
                <w:rStyle w:val="Ninguno"/>
                <w:rFonts w:ascii="Arial" w:eastAsia="Arial" w:hAnsi="Arial" w:cs="Arial"/>
                <w:sz w:val="22"/>
                <w:szCs w:val="22"/>
                <w:lang w:val="es-ES_tradnl"/>
              </w:rPr>
            </w:pPr>
          </w:p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Por parte de Universidad Mohammed V en Rabat, el Sr. Jamal Eddine EL Hani, Decano de la Facultad de Letras y Ciencias Humanas de Rabat.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/>
        </w:trPr>
        <w:tc>
          <w:tcPr>
            <w:tcW w:w="48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lang w:val="fr-FR"/>
              </w:rPr>
              <w:t>EN FOI DE QUOI, les parties signent le pr</w:t>
            </w:r>
            <w:r>
              <w:rPr>
                <w:rStyle w:val="Ninguno"/>
                <w:rFonts w:ascii="Arial" w:hAnsi="Arial"/>
                <w:lang w:val="fr-FR"/>
              </w:rPr>
              <w:t>é</w:t>
            </w:r>
            <w:r>
              <w:rPr>
                <w:rStyle w:val="Ninguno"/>
                <w:rFonts w:ascii="Arial" w:hAnsi="Arial"/>
                <w:lang w:val="fr-FR"/>
              </w:rPr>
              <w:t>sent document en double exemplaire, en espagnol et en (une autre langue si n</w:t>
            </w:r>
            <w:r>
              <w:rPr>
                <w:rStyle w:val="Ninguno"/>
                <w:rFonts w:ascii="Arial" w:hAnsi="Arial"/>
                <w:lang w:val="fr-FR"/>
              </w:rPr>
              <w:t>é</w:t>
            </w:r>
            <w:r>
              <w:rPr>
                <w:rStyle w:val="Ninguno"/>
                <w:rFonts w:ascii="Arial" w:hAnsi="Arial"/>
                <w:lang w:val="fr-FR"/>
              </w:rPr>
              <w:t>cessaire), de m</w:t>
            </w:r>
            <w:r>
              <w:rPr>
                <w:rStyle w:val="Ninguno"/>
                <w:rFonts w:ascii="Arial" w:hAnsi="Arial"/>
                <w:lang w:val="fr-FR"/>
              </w:rPr>
              <w:t>ê</w:t>
            </w:r>
            <w:r>
              <w:rPr>
                <w:rStyle w:val="Ninguno"/>
                <w:rFonts w:ascii="Arial" w:hAnsi="Arial"/>
                <w:lang w:val="fr-FR"/>
              </w:rPr>
              <w:t xml:space="preserve">me contenu et </w:t>
            </w:r>
            <w:r>
              <w:rPr>
                <w:rStyle w:val="Ninguno"/>
                <w:rFonts w:ascii="Arial" w:hAnsi="Arial"/>
                <w:lang w:val="fr-FR"/>
              </w:rPr>
              <w:t xml:space="preserve">à </w:t>
            </w:r>
            <w:r>
              <w:rPr>
                <w:rStyle w:val="Ninguno"/>
                <w:rFonts w:ascii="Arial" w:hAnsi="Arial"/>
                <w:lang w:val="fr-FR"/>
              </w:rPr>
              <w:t>une seule fin.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A67A12">
            <w:pPr>
              <w:jc w:val="both"/>
            </w:pP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EN FE DE LO CUAL, las partes firman el pr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e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sente documento por duplicado, en espa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ñ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ol y en (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otro idioma de ser necesario), de igual co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tenido y a un s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ó</w:t>
            </w:r>
            <w:r>
              <w:rPr>
                <w:rStyle w:val="Ninguno"/>
                <w:rFonts w:ascii="Arial" w:hAnsi="Arial"/>
                <w:sz w:val="22"/>
                <w:szCs w:val="22"/>
                <w:lang w:val="es-ES_tradnl"/>
              </w:rPr>
              <w:t>lo efecto.</w:t>
            </w:r>
          </w:p>
        </w:tc>
      </w:tr>
      <w:tr w:rsidR="00C469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4"/>
        </w:trPr>
        <w:tc>
          <w:tcPr>
            <w:tcW w:w="9620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C46991" w:rsidRDefault="00C46991">
            <w:pPr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C46991" w:rsidRDefault="00A67A12">
            <w:pPr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DE LA PART DE L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’ 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UNIVERSIT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DE LA FRONTERA/ POR LA UNIVERSIDAD DE LA FRO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N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>TERA</w:t>
            </w:r>
          </w:p>
          <w:p w:rsidR="00C46991" w:rsidRDefault="00C46991">
            <w:pPr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C46991" w:rsidRDefault="00C46991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  <w:lang w:val="es-ES_tradnl"/>
              </w:rPr>
            </w:pPr>
          </w:p>
          <w:p w:rsidR="00C46991" w:rsidRDefault="00A67A12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FIRMA  / SIGNATURE: ___________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ab/>
              <w:t>FECHA / DATE: _________</w:t>
            </w:r>
          </w:p>
          <w:p w:rsidR="00C46991" w:rsidRDefault="00A67A12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 xml:space="preserve">          Sr. / Mr. Eduardo Hebel Weiss</w:t>
            </w:r>
          </w:p>
          <w:p w:rsidR="00C46991" w:rsidRDefault="00A67A12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 xml:space="preserve">                       Rector</w:t>
            </w:r>
          </w:p>
          <w:p w:rsidR="00C46991" w:rsidRDefault="00C46991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C46991" w:rsidRDefault="00A67A12">
            <w:pPr>
              <w:tabs>
                <w:tab w:val="left" w:pos="6096"/>
              </w:tabs>
              <w:spacing w:line="360" w:lineRule="auto"/>
              <w:rPr>
                <w:rStyle w:val="Ninguno"/>
                <w:rFonts w:ascii="Arial" w:eastAsia="Arial" w:hAnsi="Arial" w:cs="Arial"/>
                <w:b/>
                <w:bCs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  <w:lang w:val="es-ES_tradnl"/>
              </w:rPr>
              <w:t xml:space="preserve">POR LA UNIVERSIDAD MOHAMMED V DE RABAT / </w:t>
            </w:r>
            <w:r>
              <w:rPr>
                <w:rStyle w:val="Ninguno"/>
                <w:rFonts w:ascii="Arial" w:hAnsi="Arial"/>
                <w:b/>
                <w:bCs/>
                <w:lang w:val="fr-FR"/>
              </w:rPr>
              <w:t>DE LA PART DE L</w:t>
            </w:r>
            <w:r>
              <w:rPr>
                <w:rStyle w:val="Ninguno"/>
                <w:rFonts w:ascii="Arial" w:hAnsi="Arial"/>
                <w:b/>
                <w:bCs/>
                <w:lang w:val="fr-FR"/>
              </w:rPr>
              <w:t>’</w:t>
            </w:r>
            <w:r>
              <w:rPr>
                <w:rStyle w:val="Ninguno"/>
                <w:rFonts w:ascii="Arial" w:hAnsi="Arial"/>
                <w:b/>
                <w:bCs/>
                <w:lang w:val="fr-FR"/>
              </w:rPr>
              <w:t>UNIVERSIT</w:t>
            </w:r>
            <w:r>
              <w:rPr>
                <w:rStyle w:val="Ninguno"/>
                <w:rFonts w:ascii="Arial" w:hAnsi="Arial"/>
                <w:b/>
                <w:bCs/>
                <w:lang w:val="fr-FR"/>
              </w:rPr>
              <w:t xml:space="preserve">É  </w:t>
            </w:r>
            <w:r>
              <w:rPr>
                <w:rStyle w:val="Ninguno"/>
                <w:rFonts w:ascii="Arial" w:hAnsi="Arial"/>
                <w:b/>
                <w:bCs/>
                <w:lang w:val="fr-FR"/>
              </w:rPr>
              <w:t>MOHA</w:t>
            </w:r>
            <w:r>
              <w:rPr>
                <w:rStyle w:val="Ninguno"/>
                <w:rFonts w:ascii="Arial" w:hAnsi="Arial"/>
                <w:b/>
                <w:bCs/>
                <w:lang w:val="fr-FR"/>
              </w:rPr>
              <w:t>M</w:t>
            </w:r>
            <w:r>
              <w:rPr>
                <w:rStyle w:val="Ninguno"/>
                <w:rFonts w:ascii="Arial" w:hAnsi="Arial"/>
                <w:b/>
                <w:bCs/>
                <w:lang w:val="fr-FR"/>
              </w:rPr>
              <w:t>MED V DE RABAT</w:t>
            </w:r>
          </w:p>
          <w:p w:rsidR="00C46991" w:rsidRDefault="00C46991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C46991" w:rsidRDefault="00A67A12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FIRMA / SIGNATURE: _____________________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ab/>
              <w:t>FECHA / DATE: ___________</w:t>
            </w:r>
          </w:p>
          <w:p w:rsidR="00C46991" w:rsidRDefault="00C46991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</w:p>
          <w:p w:rsidR="00C46991" w:rsidRDefault="00A67A12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 xml:space="preserve">           Sr. / Mr. Farid El Bacha</w:t>
            </w:r>
          </w:p>
          <w:p w:rsidR="00C46991" w:rsidRDefault="00A67A12">
            <w:pPr>
              <w:tabs>
                <w:tab w:val="left" w:pos="6096"/>
              </w:tabs>
              <w:rPr>
                <w:rStyle w:val="Ninguno"/>
                <w:rFonts w:ascii="Arial" w:eastAsia="Arial" w:hAnsi="Arial" w:cs="Arial"/>
                <w:b/>
                <w:bCs/>
                <w:sz w:val="22"/>
                <w:szCs w:val="22"/>
              </w:rPr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 xml:space="preserve"> Presidente de la Universidad Mohammed V de Rabat</w:t>
            </w:r>
          </w:p>
          <w:p w:rsidR="00C46991" w:rsidRDefault="00A67A12">
            <w:pPr>
              <w:tabs>
                <w:tab w:val="left" w:pos="6096"/>
              </w:tabs>
            </w:pP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/ Pr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é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sidente de l4universit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 xml:space="preserve">é </w:t>
            </w:r>
            <w:r>
              <w:rPr>
                <w:rStyle w:val="Ninguno"/>
                <w:rFonts w:ascii="Arial" w:hAnsi="Arial"/>
                <w:b/>
                <w:bCs/>
                <w:sz w:val="22"/>
                <w:szCs w:val="22"/>
              </w:rPr>
              <w:t>Mohammed V de Rabat</w:t>
            </w:r>
          </w:p>
        </w:tc>
      </w:tr>
    </w:tbl>
    <w:p w:rsidR="00C46991" w:rsidRDefault="00C46991">
      <w:pPr>
        <w:widowControl w:val="0"/>
        <w:ind w:left="216" w:hanging="216"/>
      </w:pPr>
    </w:p>
    <w:p w:rsidR="00C46991" w:rsidRDefault="00C46991">
      <w:pPr>
        <w:widowControl w:val="0"/>
        <w:ind w:left="108" w:hanging="108"/>
      </w:pPr>
    </w:p>
    <w:p w:rsidR="00C46991" w:rsidRDefault="00C46991">
      <w:pPr>
        <w:widowControl w:val="0"/>
      </w:pPr>
    </w:p>
    <w:p w:rsidR="00C46991" w:rsidRDefault="00A67A12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>FIRMA  / SIGNATURE: _____________________</w:t>
      </w:r>
      <w:r>
        <w:rPr>
          <w:rStyle w:val="Ninguno"/>
          <w:rFonts w:ascii="Arial" w:hAnsi="Arial"/>
          <w:b/>
          <w:bCs/>
          <w:sz w:val="22"/>
          <w:szCs w:val="22"/>
        </w:rPr>
        <w:tab/>
        <w:t>FECHA / DATE: _____________</w:t>
      </w:r>
    </w:p>
    <w:p w:rsidR="00C46991" w:rsidRDefault="00A67A12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 xml:space="preserve">          Sr. / Mr. Carlos del Valle (Coordinador / </w:t>
      </w:r>
      <w:r>
        <w:rPr>
          <w:rStyle w:val="Ninguno"/>
          <w:rFonts w:ascii="Arial" w:hAnsi="Arial"/>
          <w:b/>
          <w:bCs/>
          <w:sz w:val="22"/>
          <w:szCs w:val="22"/>
          <w:lang w:val="es-ES_tradnl"/>
        </w:rPr>
        <w:t>Coordinateur</w:t>
      </w:r>
      <w:r>
        <w:rPr>
          <w:rStyle w:val="Ninguno"/>
          <w:rFonts w:ascii="Arial" w:hAnsi="Arial"/>
          <w:b/>
          <w:bCs/>
          <w:sz w:val="22"/>
          <w:szCs w:val="22"/>
        </w:rPr>
        <w:t>)</w:t>
      </w:r>
    </w:p>
    <w:p w:rsidR="00C46991" w:rsidRDefault="00C46991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C46991" w:rsidRDefault="00C46991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C46991" w:rsidRDefault="00C46991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C46991" w:rsidRDefault="00A67A12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 xml:space="preserve">FIRMA / </w:t>
      </w:r>
      <w:r>
        <w:rPr>
          <w:rStyle w:val="Ninguno"/>
          <w:rFonts w:ascii="Arial" w:hAnsi="Arial"/>
          <w:b/>
          <w:bCs/>
          <w:sz w:val="22"/>
          <w:szCs w:val="22"/>
        </w:rPr>
        <w:t>SIGNATURE: _____________________</w:t>
      </w:r>
      <w:r>
        <w:rPr>
          <w:rStyle w:val="Ninguno"/>
          <w:rFonts w:ascii="Arial" w:hAnsi="Arial"/>
          <w:b/>
          <w:bCs/>
          <w:sz w:val="22"/>
          <w:szCs w:val="22"/>
        </w:rPr>
        <w:tab/>
        <w:t>FECHA / DATE: _____________</w:t>
      </w:r>
    </w:p>
    <w:p w:rsidR="00C46991" w:rsidRDefault="00C46991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</w:p>
    <w:p w:rsidR="00C46991" w:rsidRDefault="00A67A12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 xml:space="preserve">            Sr. / Mr. Jamal Eddine EL Hani</w:t>
      </w:r>
    </w:p>
    <w:p w:rsidR="00C46991" w:rsidRDefault="00A67A12">
      <w:pPr>
        <w:tabs>
          <w:tab w:val="left" w:pos="6096"/>
        </w:tabs>
        <w:rPr>
          <w:rStyle w:val="Ninguno"/>
          <w:rFonts w:ascii="Arial" w:eastAsia="Arial" w:hAnsi="Arial" w:cs="Arial"/>
          <w:b/>
          <w:bCs/>
          <w:sz w:val="22"/>
          <w:szCs w:val="22"/>
        </w:rPr>
      </w:pPr>
      <w:r>
        <w:rPr>
          <w:rStyle w:val="Ninguno"/>
          <w:rFonts w:ascii="Arial" w:hAnsi="Arial"/>
          <w:b/>
          <w:bCs/>
          <w:sz w:val="22"/>
          <w:szCs w:val="22"/>
        </w:rPr>
        <w:t xml:space="preserve">      Decano de la Facultad de Letras y Ciencias Humanas de Rabat</w:t>
      </w:r>
    </w:p>
    <w:p w:rsidR="00C46991" w:rsidRDefault="00A67A12">
      <w:pPr>
        <w:tabs>
          <w:tab w:val="left" w:pos="6096"/>
        </w:tabs>
      </w:pPr>
      <w:r>
        <w:rPr>
          <w:rStyle w:val="Ninguno"/>
          <w:rFonts w:ascii="Arial" w:hAnsi="Arial"/>
          <w:b/>
          <w:bCs/>
          <w:sz w:val="22"/>
          <w:szCs w:val="22"/>
        </w:rPr>
        <w:t>/ Doyen de la Facult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é </w:t>
      </w:r>
      <w:r>
        <w:rPr>
          <w:rStyle w:val="Ninguno"/>
          <w:rFonts w:ascii="Arial" w:hAnsi="Arial"/>
          <w:b/>
          <w:bCs/>
          <w:sz w:val="22"/>
          <w:szCs w:val="22"/>
        </w:rPr>
        <w:t xml:space="preserve">des Lettres </w:t>
      </w:r>
      <w:proofErr w:type="gramStart"/>
      <w:r>
        <w:rPr>
          <w:rStyle w:val="Ninguno"/>
          <w:rFonts w:ascii="Arial" w:hAnsi="Arial"/>
          <w:b/>
          <w:bCs/>
          <w:sz w:val="22"/>
          <w:szCs w:val="22"/>
        </w:rPr>
        <w:t>et</w:t>
      </w:r>
      <w:proofErr w:type="gramEnd"/>
      <w:r>
        <w:rPr>
          <w:rStyle w:val="Ninguno"/>
          <w:rFonts w:ascii="Arial" w:hAnsi="Arial"/>
          <w:b/>
          <w:bCs/>
          <w:sz w:val="22"/>
          <w:szCs w:val="22"/>
        </w:rPr>
        <w:t xml:space="preserve"> des Sciences Humaines de Rabat</w:t>
      </w:r>
    </w:p>
    <w:sectPr w:rsidR="00C46991">
      <w:headerReference w:type="default" r:id="rId8"/>
      <w:footerReference w:type="default" r:id="rId9"/>
      <w:headerReference w:type="first" r:id="rId10"/>
      <w:footerReference w:type="first" r:id="rId11"/>
      <w:pgSz w:w="12240" w:h="15840"/>
      <w:pgMar w:top="992" w:right="1418" w:bottom="567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A67A12">
      <w:r>
        <w:separator/>
      </w:r>
    </w:p>
  </w:endnote>
  <w:endnote w:type="continuationSeparator" w:id="0">
    <w:p w:rsidR="00000000" w:rsidRDefault="00A67A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1" w:rsidRDefault="00A67A12">
    <w:pPr>
      <w:pStyle w:val="Piedepgina"/>
      <w:jc w:val="right"/>
    </w:pPr>
    <w:r>
      <w:rPr>
        <w:rStyle w:val="NingunoA"/>
      </w:rPr>
      <w:fldChar w:fldCharType="begin"/>
    </w:r>
    <w:r>
      <w:rPr>
        <w:rStyle w:val="NingunoA"/>
      </w:rPr>
      <w:instrText xml:space="preserve"> PAGE </w:instrText>
    </w:r>
    <w:r>
      <w:rPr>
        <w:rStyle w:val="NingunoA"/>
      </w:rPr>
      <w:fldChar w:fldCharType="separate"/>
    </w:r>
    <w:r>
      <w:rPr>
        <w:rStyle w:val="NingunoA"/>
        <w:noProof/>
      </w:rPr>
      <w:t>7</w:t>
    </w:r>
    <w:r>
      <w:rPr>
        <w:rStyle w:val="NingunoA"/>
      </w:rPr>
      <w:fldChar w:fldCharType="end"/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1" w:rsidRDefault="00C46991">
    <w:pPr>
      <w:pStyle w:val="Piedepgina"/>
      <w:tabs>
        <w:tab w:val="clear" w:pos="4252"/>
        <w:tab w:val="clear" w:pos="8504"/>
        <w:tab w:val="center" w:pos="1954"/>
        <w:tab w:val="right" w:pos="2184"/>
      </w:tabs>
      <w:ind w:right="360"/>
      <w:jc w:val="center"/>
      <w:rPr>
        <w:rStyle w:val="Ninguno"/>
        <w:rFonts w:ascii="Arial" w:eastAsia="Arial" w:hAnsi="Arial" w:cs="Arial"/>
        <w:i/>
        <w:iCs/>
        <w:sz w:val="16"/>
        <w:szCs w:val="16"/>
      </w:rPr>
    </w:pPr>
  </w:p>
  <w:p w:rsidR="00C46991" w:rsidRDefault="00C46991">
    <w:pPr>
      <w:pStyle w:val="Piedepgina"/>
      <w:tabs>
        <w:tab w:val="clear" w:pos="4252"/>
        <w:tab w:val="clear" w:pos="8504"/>
        <w:tab w:val="center" w:pos="1954"/>
        <w:tab w:val="right" w:pos="2184"/>
      </w:tabs>
      <w:ind w:right="360"/>
      <w:jc w:val="center"/>
      <w:rPr>
        <w:rStyle w:val="Ninguno"/>
        <w:rFonts w:ascii="Arial" w:eastAsia="Arial" w:hAnsi="Arial" w:cs="Arial"/>
        <w:i/>
        <w:iCs/>
        <w:sz w:val="16"/>
        <w:szCs w:val="16"/>
      </w:rPr>
    </w:pPr>
  </w:p>
  <w:p w:rsidR="00C46991" w:rsidRDefault="00A67A12">
    <w:pPr>
      <w:pStyle w:val="Piedepgina"/>
      <w:tabs>
        <w:tab w:val="clear" w:pos="4252"/>
        <w:tab w:val="clear" w:pos="8504"/>
        <w:tab w:val="center" w:pos="1954"/>
        <w:tab w:val="right" w:pos="2184"/>
      </w:tabs>
      <w:ind w:right="360"/>
      <w:jc w:val="center"/>
    </w:pPr>
    <w:r>
      <w:rPr>
        <w:rStyle w:val="Ninguno"/>
        <w:rFonts w:ascii="Arial" w:hAnsi="Arial"/>
        <w:i/>
        <w:iCs/>
        <w:sz w:val="16"/>
        <w:szCs w:val="16"/>
        <w:lang w:val="es-ES_tradnl"/>
      </w:rPr>
      <w:t>International Cooperation Office, Universidad de La Frontera, P.O. Box 54-D, Temuco, Chile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A67A12">
      <w:r>
        <w:separator/>
      </w:r>
    </w:p>
  </w:footnote>
  <w:footnote w:type="continuationSeparator" w:id="0">
    <w:p w:rsidR="00000000" w:rsidRDefault="00A67A1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1" w:rsidRDefault="00C46991">
    <w:pPr>
      <w:pStyle w:val="Encabezadoypi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6991" w:rsidRDefault="00A67A12">
    <w:pPr>
      <w:pStyle w:val="Encabezado"/>
      <w:jc w:val="right"/>
    </w:pPr>
    <w:r>
      <w:rPr>
        <w:noProof/>
        <w:lang w:val="es-ES"/>
      </w:rP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5624194</wp:posOffset>
          </wp:positionH>
          <wp:positionV relativeFrom="page">
            <wp:posOffset>629919</wp:posOffset>
          </wp:positionV>
          <wp:extent cx="1247775" cy="1123950"/>
          <wp:effectExtent l="0" t="0" r="0" b="0"/>
          <wp:wrapNone/>
          <wp:docPr id="1073741825" name="officeArt object" descr="logo ufr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logo ufro" descr="logo ufro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47775" cy="112395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  <w:lang w:val="es-ES"/>
      </w:rPr>
      <mc:AlternateContent>
        <mc:Choice Requires="wps">
          <w:drawing>
            <wp:anchor distT="152400" distB="152400" distL="152400" distR="152400" simplePos="0" relativeHeight="251659264" behindDoc="1" locked="0" layoutInCell="1" allowOverlap="1">
              <wp:simplePos x="0" y="0"/>
              <wp:positionH relativeFrom="page">
                <wp:posOffset>976627</wp:posOffset>
              </wp:positionH>
              <wp:positionV relativeFrom="page">
                <wp:posOffset>9441180</wp:posOffset>
              </wp:positionV>
              <wp:extent cx="5716272" cy="0"/>
              <wp:effectExtent l="0" t="0" r="0" b="0"/>
              <wp:wrapNone/>
              <wp:docPr id="1073741826" name="officeArt object" descr="officeArt object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16272" cy="0"/>
                      </a:xfrm>
                      <a:prstGeom prst="line">
                        <a:avLst/>
                      </a:prstGeom>
                      <a:noFill/>
                      <a:ln w="9525" cap="flat">
                        <a:solidFill>
                          <a:srgbClr val="000000"/>
                        </a:solidFill>
                        <a:prstDash val="solid"/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id="_x0000_s1026" style="visibility:visible;position:absolute;margin-left:76.9pt;margin-top:743.4pt;width:450.1pt;height:0.0pt;z-index:-251657216;mso-position-horizontal:absolute;mso-position-horizontal-relative:page;mso-position-vertical:absolute;mso-position-vertical-relative:page;mso-wrap-distance-left:12.0pt;mso-wrap-distance-top:12.0pt;mso-wrap-distance-right:12.0pt;mso-wrap-distance-bottom:12.0pt;">
              <v:fill on="f"/>
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<w10:wrap type="none" side="bothSides" anchorx="page" anchory="page"/>
            </v:line>
          </w:pict>
        </mc:Fallback>
      </mc:AlternateContent>
    </w:r>
    <w:proofErr w:type="gramStart"/>
    <w:r>
      <w:rPr>
        <w:rStyle w:val="Ninguno"/>
      </w:rPr>
      <w:t>UNIVERSITY  LOGO</w:t>
    </w:r>
    <w:proofErr w:type="gramEnd"/>
    <w:r>
      <w:rPr>
        <w:rStyle w:val="Ninguno"/>
      </w:rPr>
      <w:t xml:space="preserve"> </w:t>
    </w:r>
    <w:r>
      <w:rPr>
        <w:rStyle w:val="Ninguno"/>
      </w:rP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E53052"/>
    <w:multiLevelType w:val="hybridMultilevel"/>
    <w:tmpl w:val="DD9EB5F6"/>
    <w:lvl w:ilvl="0" w:tplc="3C526026">
      <w:start w:val="1"/>
      <w:numFmt w:val="decimal"/>
      <w:lvlText w:val="%1."/>
      <w:lvlJc w:val="left"/>
      <w:pPr>
        <w:tabs>
          <w:tab w:val="left" w:pos="1065"/>
        </w:tabs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E5C04BE">
      <w:start w:val="1"/>
      <w:numFmt w:val="lowerLetter"/>
      <w:lvlText w:val="%2."/>
      <w:lvlJc w:val="left"/>
      <w:pPr>
        <w:tabs>
          <w:tab w:val="left" w:pos="1065"/>
        </w:tabs>
        <w:ind w:left="720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E417B2">
      <w:start w:val="1"/>
      <w:numFmt w:val="lowerRoman"/>
      <w:lvlText w:val="%3."/>
      <w:lvlJc w:val="left"/>
      <w:pPr>
        <w:ind w:left="1379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9CA55CE">
      <w:start w:val="1"/>
      <w:numFmt w:val="decimal"/>
      <w:lvlText w:val="%4."/>
      <w:lvlJc w:val="left"/>
      <w:pPr>
        <w:tabs>
          <w:tab w:val="left" w:pos="1065"/>
        </w:tabs>
        <w:ind w:left="209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BA9428">
      <w:start w:val="1"/>
      <w:numFmt w:val="lowerLetter"/>
      <w:lvlText w:val="%5."/>
      <w:lvlJc w:val="left"/>
      <w:pPr>
        <w:tabs>
          <w:tab w:val="left" w:pos="1065"/>
        </w:tabs>
        <w:ind w:left="281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66EE888">
      <w:start w:val="1"/>
      <w:numFmt w:val="lowerRoman"/>
      <w:lvlText w:val="%6."/>
      <w:lvlJc w:val="left"/>
      <w:pPr>
        <w:tabs>
          <w:tab w:val="left" w:pos="1065"/>
        </w:tabs>
        <w:ind w:left="3539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903590">
      <w:start w:val="1"/>
      <w:numFmt w:val="decimal"/>
      <w:lvlText w:val="%7."/>
      <w:lvlJc w:val="left"/>
      <w:pPr>
        <w:tabs>
          <w:tab w:val="left" w:pos="1065"/>
        </w:tabs>
        <w:ind w:left="425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D36DCCC">
      <w:start w:val="1"/>
      <w:numFmt w:val="lowerLetter"/>
      <w:lvlText w:val="%8."/>
      <w:lvlJc w:val="left"/>
      <w:pPr>
        <w:tabs>
          <w:tab w:val="left" w:pos="1065"/>
        </w:tabs>
        <w:ind w:left="4979" w:hanging="72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CF8BF56">
      <w:start w:val="1"/>
      <w:numFmt w:val="lowerRoman"/>
      <w:lvlText w:val="%9."/>
      <w:lvlJc w:val="left"/>
      <w:pPr>
        <w:tabs>
          <w:tab w:val="left" w:pos="1065"/>
        </w:tabs>
        <w:ind w:left="5699" w:hanging="66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>
    <w:nsid w:val="1E8E5FCE"/>
    <w:multiLevelType w:val="hybridMultilevel"/>
    <w:tmpl w:val="535ED0C6"/>
    <w:lvl w:ilvl="0" w:tplc="B894A62E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1089CE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C0E564C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DBAE8C6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63AA9AC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8C8CCB4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9E6EEA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ACC1CE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C0404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20CD0185"/>
    <w:multiLevelType w:val="hybridMultilevel"/>
    <w:tmpl w:val="D85A6CCA"/>
    <w:lvl w:ilvl="0" w:tplc="003C36E8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CE80B6">
      <w:start w:val="1"/>
      <w:numFmt w:val="lowerLetter"/>
      <w:lvlText w:val="%2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9C3E84">
      <w:start w:val="1"/>
      <w:numFmt w:val="lowerRoman"/>
      <w:lvlText w:val="%3."/>
      <w:lvlJc w:val="left"/>
      <w:pPr>
        <w:ind w:left="180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FBC70D2">
      <w:start w:val="1"/>
      <w:numFmt w:val="decimal"/>
      <w:lvlText w:val="%4."/>
      <w:lvlJc w:val="left"/>
      <w:pPr>
        <w:ind w:left="25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522302">
      <w:start w:val="1"/>
      <w:numFmt w:val="lowerLetter"/>
      <w:lvlText w:val="%5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5EA4E6C">
      <w:start w:val="1"/>
      <w:numFmt w:val="lowerRoman"/>
      <w:lvlText w:val="%6."/>
      <w:lvlJc w:val="left"/>
      <w:pPr>
        <w:ind w:left="396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BB8E684">
      <w:start w:val="1"/>
      <w:numFmt w:val="decimal"/>
      <w:lvlText w:val="%7."/>
      <w:lvlJc w:val="left"/>
      <w:pPr>
        <w:ind w:left="46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C3A66">
      <w:start w:val="1"/>
      <w:numFmt w:val="lowerLetter"/>
      <w:lvlText w:val="%8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71E3E0C">
      <w:start w:val="1"/>
      <w:numFmt w:val="lowerRoman"/>
      <w:lvlText w:val="%9."/>
      <w:lvlJc w:val="left"/>
      <w:pPr>
        <w:ind w:left="612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43F715FC"/>
    <w:multiLevelType w:val="hybridMultilevel"/>
    <w:tmpl w:val="14F67F30"/>
    <w:lvl w:ilvl="0" w:tplc="E83AB8E0">
      <w:start w:val="1"/>
      <w:numFmt w:val="decimal"/>
      <w:lvlText w:val="%1."/>
      <w:lvlJc w:val="left"/>
      <w:pPr>
        <w:ind w:left="36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B2D6B6">
      <w:start w:val="1"/>
      <w:numFmt w:val="lowerLetter"/>
      <w:lvlText w:val="%2."/>
      <w:lvlJc w:val="left"/>
      <w:pPr>
        <w:ind w:left="10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1D67874">
      <w:start w:val="1"/>
      <w:numFmt w:val="lowerRoman"/>
      <w:lvlText w:val="%3."/>
      <w:lvlJc w:val="left"/>
      <w:pPr>
        <w:ind w:left="1724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266A38">
      <w:start w:val="1"/>
      <w:numFmt w:val="decimal"/>
      <w:lvlText w:val="%4."/>
      <w:lvlJc w:val="left"/>
      <w:pPr>
        <w:ind w:left="244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62807A">
      <w:start w:val="1"/>
      <w:numFmt w:val="lowerLetter"/>
      <w:lvlText w:val="%5."/>
      <w:lvlJc w:val="left"/>
      <w:pPr>
        <w:ind w:left="316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AB4439C">
      <w:start w:val="1"/>
      <w:numFmt w:val="lowerRoman"/>
      <w:lvlText w:val="%6."/>
      <w:lvlJc w:val="left"/>
      <w:pPr>
        <w:ind w:left="3884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8891F4">
      <w:start w:val="1"/>
      <w:numFmt w:val="decimal"/>
      <w:lvlText w:val="%7."/>
      <w:lvlJc w:val="left"/>
      <w:pPr>
        <w:ind w:left="460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24446D0">
      <w:start w:val="1"/>
      <w:numFmt w:val="lowerLetter"/>
      <w:lvlText w:val="%8."/>
      <w:lvlJc w:val="left"/>
      <w:pPr>
        <w:ind w:left="5324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CFE6D94">
      <w:start w:val="1"/>
      <w:numFmt w:val="lowerRoman"/>
      <w:lvlText w:val="%9."/>
      <w:lvlJc w:val="left"/>
      <w:pPr>
        <w:ind w:left="6044" w:hanging="30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5B367E6B"/>
    <w:multiLevelType w:val="hybridMultilevel"/>
    <w:tmpl w:val="3B580D1A"/>
    <w:lvl w:ilvl="0" w:tplc="03DC6852">
      <w:start w:val="1"/>
      <w:numFmt w:val="decimal"/>
      <w:lvlText w:val="%1."/>
      <w:lvlJc w:val="left"/>
      <w:pPr>
        <w:ind w:left="41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529A6E">
      <w:start w:val="1"/>
      <w:numFmt w:val="lowerLetter"/>
      <w:lvlText w:val="%2."/>
      <w:lvlJc w:val="left"/>
      <w:pPr>
        <w:ind w:left="782" w:hanging="64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B8CCF56">
      <w:start w:val="1"/>
      <w:numFmt w:val="lowerRoman"/>
      <w:lvlText w:val="%3."/>
      <w:lvlJc w:val="left"/>
      <w:pPr>
        <w:ind w:left="1502" w:hanging="5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8A63C1A">
      <w:start w:val="1"/>
      <w:numFmt w:val="decimal"/>
      <w:lvlText w:val="%4."/>
      <w:lvlJc w:val="left"/>
      <w:pPr>
        <w:ind w:left="2222" w:hanging="62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BFA595A">
      <w:start w:val="1"/>
      <w:numFmt w:val="lowerLetter"/>
      <w:lvlText w:val="%5."/>
      <w:lvlJc w:val="left"/>
      <w:pPr>
        <w:ind w:left="2942" w:hanging="6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5A61D8">
      <w:start w:val="1"/>
      <w:numFmt w:val="lowerRoman"/>
      <w:lvlText w:val="%6."/>
      <w:lvlJc w:val="left"/>
      <w:pPr>
        <w:ind w:left="3662" w:hanging="54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462F4E4">
      <w:start w:val="1"/>
      <w:numFmt w:val="decimal"/>
      <w:lvlText w:val="%7."/>
      <w:lvlJc w:val="left"/>
      <w:pPr>
        <w:ind w:left="4382" w:hanging="58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1D6FE26">
      <w:start w:val="1"/>
      <w:numFmt w:val="lowerLetter"/>
      <w:lvlText w:val="%8."/>
      <w:lvlJc w:val="left"/>
      <w:pPr>
        <w:ind w:left="5102" w:hanging="57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5646A68">
      <w:start w:val="1"/>
      <w:numFmt w:val="lowerRoman"/>
      <w:lvlText w:val="%9."/>
      <w:lvlJc w:val="left"/>
      <w:pPr>
        <w:ind w:left="5822" w:hanging="50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633B12EB"/>
    <w:multiLevelType w:val="hybridMultilevel"/>
    <w:tmpl w:val="D428B49A"/>
    <w:lvl w:ilvl="0" w:tplc="2A4879D4">
      <w:start w:val="1"/>
      <w:numFmt w:val="decimal"/>
      <w:lvlText w:val="%1."/>
      <w:lvlJc w:val="left"/>
      <w:pPr>
        <w:ind w:left="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CF4C426">
      <w:start w:val="1"/>
      <w:numFmt w:val="decimal"/>
      <w:lvlText w:val="%2."/>
      <w:lvlJc w:val="left"/>
      <w:pPr>
        <w:ind w:left="1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D68F0E">
      <w:start w:val="1"/>
      <w:numFmt w:val="decimal"/>
      <w:lvlText w:val="%3."/>
      <w:lvlJc w:val="left"/>
      <w:pPr>
        <w:ind w:left="1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8A49DF4">
      <w:start w:val="1"/>
      <w:numFmt w:val="decimal"/>
      <w:lvlText w:val="%4."/>
      <w:lvlJc w:val="left"/>
      <w:pPr>
        <w:ind w:left="2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E7CC60A">
      <w:start w:val="1"/>
      <w:numFmt w:val="decimal"/>
      <w:lvlText w:val="%5."/>
      <w:lvlJc w:val="left"/>
      <w:pPr>
        <w:ind w:left="34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3D2BE0A">
      <w:start w:val="1"/>
      <w:numFmt w:val="decimal"/>
      <w:lvlText w:val="%6."/>
      <w:lvlJc w:val="left"/>
      <w:pPr>
        <w:ind w:left="42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38E1C8">
      <w:start w:val="1"/>
      <w:numFmt w:val="decimal"/>
      <w:lvlText w:val="%7."/>
      <w:lvlJc w:val="left"/>
      <w:pPr>
        <w:ind w:left="50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2FAC008">
      <w:start w:val="1"/>
      <w:numFmt w:val="decimal"/>
      <w:lvlText w:val="%8."/>
      <w:lvlJc w:val="left"/>
      <w:pPr>
        <w:ind w:left="58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53037F0">
      <w:start w:val="1"/>
      <w:numFmt w:val="decimal"/>
      <w:lvlText w:val="%9."/>
      <w:lvlJc w:val="left"/>
      <w:pPr>
        <w:ind w:left="6632" w:hanging="23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3"/>
  </w:num>
  <w:num w:numId="2">
    <w:abstractNumId w:val="0"/>
  </w:num>
  <w:num w:numId="3">
    <w:abstractNumId w:val="0"/>
    <w:lvlOverride w:ilvl="0">
      <w:lvl w:ilvl="0" w:tplc="3C526026">
        <w:start w:val="1"/>
        <w:numFmt w:val="decimal"/>
        <w:lvlText w:val="%1."/>
        <w:lvlJc w:val="left"/>
        <w:pPr>
          <w:tabs>
            <w:tab w:val="left" w:pos="1440"/>
          </w:tabs>
          <w:ind w:left="284" w:hanging="284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EE5C04BE">
        <w:start w:val="1"/>
        <w:numFmt w:val="lowerLetter"/>
        <w:lvlText w:val="%2."/>
        <w:lvlJc w:val="left"/>
        <w:pPr>
          <w:tabs>
            <w:tab w:val="left" w:pos="1440"/>
          </w:tabs>
          <w:ind w:left="720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5FE417B2">
        <w:start w:val="1"/>
        <w:numFmt w:val="lowerRoman"/>
        <w:lvlText w:val="%3."/>
        <w:lvlJc w:val="left"/>
        <w:pPr>
          <w:tabs>
            <w:tab w:val="left" w:pos="1440"/>
          </w:tabs>
          <w:ind w:left="1379" w:hanging="66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9CA55CE">
        <w:start w:val="1"/>
        <w:numFmt w:val="decimal"/>
        <w:lvlText w:val="%4."/>
        <w:lvlJc w:val="left"/>
        <w:pPr>
          <w:tabs>
            <w:tab w:val="left" w:pos="1440"/>
          </w:tabs>
          <w:ind w:left="2099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56BA9428">
        <w:start w:val="1"/>
        <w:numFmt w:val="lowerLetter"/>
        <w:lvlText w:val="%5."/>
        <w:lvlJc w:val="left"/>
        <w:pPr>
          <w:tabs>
            <w:tab w:val="left" w:pos="1440"/>
          </w:tabs>
          <w:ind w:left="2819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666EE888">
        <w:start w:val="1"/>
        <w:numFmt w:val="lowerRoman"/>
        <w:lvlText w:val="%6."/>
        <w:lvlJc w:val="left"/>
        <w:pPr>
          <w:tabs>
            <w:tab w:val="left" w:pos="1440"/>
          </w:tabs>
          <w:ind w:left="3539" w:hanging="66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7903590">
        <w:start w:val="1"/>
        <w:numFmt w:val="decimal"/>
        <w:lvlText w:val="%7."/>
        <w:lvlJc w:val="left"/>
        <w:pPr>
          <w:tabs>
            <w:tab w:val="left" w:pos="1440"/>
          </w:tabs>
          <w:ind w:left="4259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D36DCCC">
        <w:start w:val="1"/>
        <w:numFmt w:val="lowerLetter"/>
        <w:lvlText w:val="%8."/>
        <w:lvlJc w:val="left"/>
        <w:pPr>
          <w:tabs>
            <w:tab w:val="left" w:pos="1440"/>
          </w:tabs>
          <w:ind w:left="4979" w:hanging="720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CF8BF56">
        <w:start w:val="1"/>
        <w:numFmt w:val="lowerRoman"/>
        <w:lvlText w:val="%9."/>
        <w:lvlJc w:val="left"/>
        <w:pPr>
          <w:tabs>
            <w:tab w:val="left" w:pos="1440"/>
          </w:tabs>
          <w:ind w:left="5699" w:hanging="662"/>
        </w:pPr>
        <w:rPr>
          <w:rFonts w:hAnsi="Arial Unicode MS"/>
          <w:i/>
          <w:i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5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46991"/>
    <w:rsid w:val="00A67A12"/>
    <w:rsid w:val="00C4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u w:color="000000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CL" w:eastAsia="es-E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rFonts w:eastAsia="Times New Roman"/>
      <w:color w:val="000000"/>
      <w:u w:color="000000"/>
      <w:lang w:val="en-US"/>
      <w14:textOutline w14:w="12700" w14:cap="flat" w14:cmpd="sng" w14:algn="ctr">
        <w14:noFill/>
        <w14:prstDash w14:val="solid"/>
        <w14:miter w14:lim="400000"/>
      </w14:textOutline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252"/>
        <w:tab w:val="right" w:pos="8504"/>
      </w:tabs>
    </w:pPr>
    <w:rPr>
      <w:rFonts w:cs="Arial Unicode MS"/>
      <w:color w:val="000000"/>
      <w:u w:color="000000"/>
    </w:rPr>
  </w:style>
  <w:style w:type="character" w:customStyle="1" w:styleId="Ninguno">
    <w:name w:val="Ninguno"/>
  </w:style>
  <w:style w:type="character" w:customStyle="1" w:styleId="NingunoA">
    <w:name w:val="Ninguno A"/>
    <w:basedOn w:val="Ninguno"/>
  </w:style>
  <w:style w:type="paragraph" w:styleId="Encabezado">
    <w:name w:val="header"/>
    <w:pPr>
      <w:tabs>
        <w:tab w:val="center" w:pos="4252"/>
        <w:tab w:val="right" w:pos="8504"/>
      </w:tabs>
    </w:pPr>
    <w:rPr>
      <w:rFonts w:cs="Arial Unicode MS"/>
      <w:color w:val="000000"/>
      <w:u w:color="00000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2988</Words>
  <Characters>16440</Characters>
  <Application>Microsoft Macintosh Word</Application>
  <DocSecurity>0</DocSecurity>
  <Lines>137</Lines>
  <Paragraphs>38</Paragraphs>
  <ScaleCrop>false</ScaleCrop>
  <Company>UNIVERSIDAD DE LA FRONTERA</Company>
  <LinksUpToDate>false</LinksUpToDate>
  <CharactersWithSpaces>19390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CARLOS DEL VALLE</cp:lastModifiedBy>
  <cp:revision>2</cp:revision>
  <dcterms:created xsi:type="dcterms:W3CDTF">2023-11-05T00:52:00Z</dcterms:created>
  <dcterms:modified xsi:type="dcterms:W3CDTF">2023-11-05T00:52:00Z</dcterms:modified>
</cp:coreProperties>
</file>